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perl-Socket-MsgHdr</w:t>
      </w:r>
      <w:r>
        <w:rPr>
          <w:rStyle w:val="a0"/>
          <w:rFonts w:ascii="Arial" w:hAnsi="Arial"/>
          <w:b w:val="0"/>
          <w:sz w:val="21"/>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 2010 by Michael J. Pomraning</w:t>
      </w:r>
    </w:p>
    <w:p>
      <w:pPr>
        <w:spacing w:line="420" w:lineRule="exact"/>
      </w:pPr>
      <w:r>
        <w:rPr>
          <w:rStyle w:val="a0"/>
          <w:rFonts w:ascii="Arial" w:hAnsi="Arial"/>
          <w:sz w:val="20"/>
        </w:rPr>
        <w:t>Copyright (c) 2004-2009, Marcus Holland-Moritz.</w:t>
      </w:r>
    </w:p>
    <w:p>
      <w:pPr>
        <w:spacing w:line="420" w:lineRule="exact"/>
      </w:pPr>
      <w:r>
        <w:rPr>
          <w:rStyle w:val="a0"/>
          <w:rFonts w:ascii="Arial" w:hAnsi="Arial"/>
          <w:sz w:val="20"/>
        </w:rPr>
        <w:t>Copyright (C) 2003, 2010 Michael J. Pomraning</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1999, Kenneth Albanowski.</w:t>
      </w: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