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skylark 1.0.0</w:t>
      </w:r>
    </w:p>
    <w:p>
      <w:pPr/>
      <w:r>
        <w:rPr>
          <w:rStyle w:val="a0"/>
          <w:rFonts w:ascii="Arial" w:hAnsi="Arial"/>
          <w:b/>
        </w:rPr>
        <w:t xml:space="preserve">Copyright notice: </w:t>
      </w:r>
    </w:p>
    <w:p>
      <w:pPr/>
      <w:r>
        <w:rPr>
          <w:rStyle w:val="a0"/>
          <w:rFonts w:ascii="宋体" w:hAnsi="宋体"/>
          <w:sz w:val="22"/>
        </w:rPr>
        <w:t xml:space="preserve">Copyright (c) Huawei Technologies Co., Ltd. 2022.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 xml:space="preserve">Contribution means the copyrightable work licensed by a particular Contributor under </w:t>
      </w:r>
      <w:r>
        <w:rPr>
          <w:rStyle w:val="a0"/>
          <w:rFonts w:ascii="宋体" w:hAnsi="宋体"/>
          <w:sz w:val="22"/>
        </w:rPr>
        <w:t>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Pr>
          <w:rStyle w:val="a0"/>
          <w:rFonts w:ascii="宋体" w:hAnsi="宋体"/>
          <w:sz w:val="22"/>
        </w:rPr>
        <w:t>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