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mod_security_crs 3.2.2</w:t>
      </w:r>
    </w:p>
    <w:p>
      <w:pPr/>
      <w:r>
        <w:rPr>
          <w:rStyle w:val="13"/>
          <w:rFonts w:ascii="Arial" w:hAnsi="Arial"/>
          <w:b/>
        </w:rPr>
        <w:t xml:space="preserve">Copyright notice: </w:t>
      </w:r>
    </w:p>
    <w:p>
      <w:pPr/>
      <w:r>
        <w:rPr>
          <w:rStyle w:val="13"/>
          <w:rFonts w:ascii="宋体" w:hAnsi="宋体"/>
          <w:sz w:val="22"/>
        </w:rPr>
        <w:t>Copyright (c) 2006-2020 Trustwave and contributors. All rights reserved.</w:t>
        <w:br/>
        <w:t>Copyright (c) 2021-2022 Core Rule Set project. All rights reserved.</w:t>
        <w:br/>
        <w:t>Copyright 2006 the OWASP Core Rule Set contributors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