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minimap2 2.28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2011 by Attractive Chaos &lt;attractor@live.co.uk&gt;</w:t>
        <w:br/>
        <w:t>Copyright (c) 2019 by Attractive Chaos &lt;attractor@live.co.uk&gt;</w:t>
        <w:br/>
        <w:t>Copyright (c) 2018- Dana-Farber Cancer Institute 2017-2018 Broad Institute, Inc.</w:t>
        <w:br/>
        <w:t>Copyright (c) 2008, 2011 Attractive Chaos &lt;attractor@live.co.uk&gt;</w:t>
        <w:br/>
        <w:t>Copyright Peter Wilson and Donald Arseneau, 2000 \begingroup \catcode`\Q 3</w:t>
        <w:br/>
        <w:t>Copyright (c) 2003 SKC, Inc.</w:t>
        <w:br/>
        <w:t>Copyright (c) 2008, by Attractive Chaos &lt;attractor@live.co.uk&gt;</w:t>
        <w:br/>
        <w:t>Copyright (c) 2003 SRA, Inc.</w:t>
        <w:br/>
        <w:t>Copyright (c) 2008, 2009, 2011 Attractive Chaos &lt;attractor@live.co.uk&gt;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