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82535" w14:textId="77777777" w:rsidR="009F4FD4" w:rsidRDefault="009F4FD4">
      <w:pPr>
        <w:rPr>
          <w:rFonts w:cs="Arial"/>
        </w:rPr>
      </w:pPr>
    </w:p>
    <w:p w14:paraId="119829D0" w14:textId="77777777" w:rsidR="009F4FD4" w:rsidRDefault="00105F44">
      <w:pPr>
        <w:spacing w:line="420" w:lineRule="exact"/>
        <w:jc w:val="center"/>
      </w:pPr>
      <w:proofErr w:type="gramStart"/>
      <w:r>
        <w:rPr>
          <w:b/>
          <w:sz w:val="32"/>
        </w:rPr>
        <w:t>OPEN SOURCE</w:t>
      </w:r>
      <w:proofErr w:type="gramEnd"/>
      <w:r>
        <w:rPr>
          <w:b/>
          <w:sz w:val="32"/>
        </w:rPr>
        <w:t xml:space="preserve"> SOFTWARE NOTICE</w:t>
      </w:r>
    </w:p>
    <w:p w14:paraId="1588D5F3" w14:textId="77777777" w:rsidR="009F4FD4" w:rsidRDefault="009F4FD4">
      <w:pPr>
        <w:spacing w:line="420" w:lineRule="exact"/>
        <w:jc w:val="center"/>
      </w:pPr>
    </w:p>
    <w:p w14:paraId="3D848665" w14:textId="77777777" w:rsidR="009F4FD4" w:rsidRDefault="00105F4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024B699" w14:textId="77777777" w:rsidR="009F4FD4" w:rsidRDefault="009F4FD4">
      <w:pPr>
        <w:spacing w:line="420" w:lineRule="exact"/>
        <w:jc w:val="both"/>
        <w:rPr>
          <w:rFonts w:cs="Arial"/>
          <w:snapToGrid/>
        </w:rPr>
      </w:pPr>
    </w:p>
    <w:p w14:paraId="3B7DC042" w14:textId="77777777" w:rsidR="009F4FD4" w:rsidRDefault="00105F4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245720D" w14:textId="77777777" w:rsidR="009F4FD4" w:rsidRDefault="00105F4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3540E7" w14:textId="77777777" w:rsidR="009F4FD4" w:rsidRDefault="009F4FD4">
      <w:pPr>
        <w:spacing w:line="420" w:lineRule="exact"/>
        <w:jc w:val="both"/>
      </w:pPr>
    </w:p>
    <w:p w14:paraId="1F07B224" w14:textId="77777777" w:rsidR="009F4FD4" w:rsidRDefault="00105F4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49C8DA" w14:textId="77777777" w:rsidR="009F4FD4" w:rsidRDefault="009F4FD4">
      <w:pPr>
        <w:pStyle w:val="ad"/>
        <w:spacing w:before="0" w:after="0" w:line="240" w:lineRule="auto"/>
        <w:jc w:val="left"/>
        <w:rPr>
          <w:rFonts w:ascii="Arial" w:hAnsi="Arial" w:cs="Arial"/>
          <w:bCs w:val="0"/>
          <w:sz w:val="21"/>
          <w:szCs w:val="21"/>
        </w:rPr>
      </w:pPr>
    </w:p>
    <w:p w14:paraId="7AAB0864" w14:textId="77777777" w:rsidR="009F4FD4" w:rsidRDefault="00105F4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kf5-calendarsupport 23.08.5</w:t>
      </w:r>
    </w:p>
    <w:p w14:paraId="0E6DE32F" w14:textId="77777777" w:rsidR="009F4FD4" w:rsidRDefault="00105F44">
      <w:pPr>
        <w:rPr>
          <w:rFonts w:cs="Arial"/>
          <w:b/>
        </w:rPr>
      </w:pPr>
      <w:r>
        <w:rPr>
          <w:rFonts w:cs="Arial"/>
          <w:b/>
        </w:rPr>
        <w:t xml:space="preserve">Copyright notice: </w:t>
      </w:r>
    </w:p>
    <w:p w14:paraId="28B1497C" w14:textId="7B9DFC43" w:rsidR="009F4FD4" w:rsidRDefault="00105F4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2012-2013 Allen Winter &lt;winter@kde.org&gt;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w:t>
      </w:r>
      <w:r>
        <w:rPr>
          <w:rFonts w:ascii="宋体" w:hAnsi="宋体"/>
          <w:sz w:val="22"/>
        </w:rPr>
        <w:t>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Ron Goodheart &lt;rong.dev@gmail.com&gt;</w:t>
      </w:r>
      <w:r>
        <w:rPr>
          <w:rFonts w:ascii="宋体" w:hAnsi="宋体"/>
          <w:sz w:val="22"/>
        </w:rPr>
        <w:br/>
        <w:t>copyright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w:t>
      </w:r>
      <w:r>
        <w:rPr>
          <w:rFonts w:ascii="宋体" w:hAnsi="宋体"/>
          <w:sz w:val="22"/>
        </w:rPr>
        <w:t>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r>
      <w:r>
        <w:rPr>
          <w:rFonts w:ascii="宋体" w:hAnsi="宋体"/>
          <w:sz w:val="22"/>
        </w:rPr>
        <w:lastRenderedPageBreak/>
        <w:t>SPDX-</w:t>
      </w:r>
      <w:proofErr w:type="spellStart"/>
      <w:r>
        <w:rPr>
          <w:rFonts w:ascii="宋体" w:hAnsi="宋体"/>
          <w:sz w:val="22"/>
        </w:rPr>
        <w:t>FileCopy</w:t>
      </w:r>
      <w:r>
        <w:rPr>
          <w:rFonts w:ascii="宋体" w:hAnsi="宋体"/>
          <w:sz w:val="22"/>
        </w:rPr>
        <w:t>rightText</w:t>
      </w:r>
      <w:proofErr w:type="spellEnd"/>
      <w:r>
        <w:rPr>
          <w:rFonts w:ascii="宋体" w:hAnsi="宋体"/>
          <w:sz w:val="22"/>
        </w:rPr>
        <w:t>: 2001, 2003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Glen </w:t>
      </w:r>
      <w:proofErr w:type="spellStart"/>
      <w:r>
        <w:rPr>
          <w:rFonts w:ascii="宋体" w:hAnsi="宋体"/>
          <w:sz w:val="22"/>
        </w:rPr>
        <w:t>Ditchfield</w:t>
      </w:r>
      <w:proofErr w:type="spellEnd"/>
      <w:r>
        <w:rPr>
          <w:rFonts w:ascii="宋体" w:hAnsi="宋体"/>
          <w:sz w:val="22"/>
        </w:rPr>
        <w:t xml:space="preserve"> &lt;GJDitchfield@acm.org&gt;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SPDX-</w:t>
      </w:r>
      <w:proofErr w:type="spellStart"/>
      <w:r>
        <w:rPr>
          <w:rFonts w:ascii="宋体" w:hAnsi="宋体"/>
          <w:sz w:val="22"/>
        </w:rPr>
        <w:t>FileContributor</w:t>
      </w:r>
      <w:proofErr w:type="spellEnd"/>
      <w:r>
        <w:rPr>
          <w:rFonts w:ascii="宋体" w:hAnsi="宋体"/>
          <w:sz w:val="22"/>
        </w:rPr>
        <w:t>: Tobias Koenig &lt;tokoe@k</w:t>
      </w:r>
      <w:r>
        <w:rPr>
          <w:rFonts w:ascii="宋体" w:hAnsi="宋体"/>
          <w:sz w:val="22"/>
        </w:rPr>
        <w:t>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2010 Casey Link &lt;unnamedrambler@gmail.com&gt;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2001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David Faure &lt;faure@kde.org&gt;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2010 Andras </w:t>
      </w:r>
      <w:proofErr w:type="spellStart"/>
      <w:r>
        <w:rPr>
          <w:rFonts w:ascii="宋体" w:hAnsi="宋体"/>
          <w:sz w:val="22"/>
        </w:rPr>
        <w:t>Mantia</w:t>
      </w:r>
      <w:proofErr w:type="spellEnd"/>
      <w:r>
        <w:rPr>
          <w:rFonts w:ascii="宋体" w:hAnsi="宋体"/>
          <w:sz w:val="22"/>
        </w:rPr>
        <w:t xml:space="preserve"> &lt;andras@kdab.com&gt;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Sergio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Rzepecki</w:t>
      </w:r>
      <w:proofErr w:type="spellEnd"/>
      <w:r>
        <w:rPr>
          <w:rFonts w:ascii="宋体" w:hAnsi="宋体"/>
          <w:sz w:val="22"/>
        </w:rPr>
        <w:t xml:space="preserve"> &lt;divide@users.sourceforge.net&gt;</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xml:space="preserve">: 2004 Reinhold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2003-2004 Reinhold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2001,</w:t>
      </w:r>
      <w:r>
        <w:rPr>
          <w:rFonts w:ascii="宋体" w:hAnsi="宋体"/>
          <w:sz w:val="22"/>
        </w:rPr>
        <w:t xml:space="preserve"> 2004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Sandro </w:t>
      </w:r>
      <w:proofErr w:type="spellStart"/>
      <w:r>
        <w:rPr>
          <w:rFonts w:ascii="宋体" w:hAnsi="宋体"/>
          <w:sz w:val="22"/>
        </w:rPr>
        <w:t>Knauß</w:t>
      </w:r>
      <w:proofErr w:type="spellEnd"/>
      <w:r>
        <w:rPr>
          <w:rFonts w:ascii="宋体" w:hAnsi="宋体"/>
          <w:sz w:val="22"/>
        </w:rPr>
        <w:t xml:space="preserve"> &lt;knauss@kolabsys.com&gt;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2009 KDAB SPDX</w:t>
      </w:r>
      <w:r>
        <w:rPr>
          <w:rFonts w:ascii="宋体" w:hAnsi="宋体"/>
          <w:sz w:val="22"/>
        </w:rPr>
        <w:t>-</w:t>
      </w:r>
      <w:proofErr w:type="spellStart"/>
      <w:r>
        <w:rPr>
          <w:rFonts w:ascii="宋体" w:hAnsi="宋体"/>
          <w:sz w:val="22"/>
        </w:rPr>
        <w:t>FileContributor</w:t>
      </w:r>
      <w:proofErr w:type="spellEnd"/>
      <w:r>
        <w:rPr>
          <w:rFonts w:ascii="宋体" w:hAnsi="宋体"/>
          <w:sz w:val="22"/>
        </w:rPr>
        <w:t xml:space="preserve">: Frank </w:t>
      </w:r>
      <w:proofErr w:type="spellStart"/>
      <w:r>
        <w:rPr>
          <w:rFonts w:ascii="宋体" w:hAnsi="宋体"/>
          <w:sz w:val="22"/>
        </w:rPr>
        <w:t>Osterfeld</w:t>
      </w:r>
      <w:proofErr w:type="spellEnd"/>
      <w:r>
        <w:rPr>
          <w:rFonts w:ascii="宋体" w:hAnsi="宋体"/>
          <w:sz w:val="22"/>
        </w:rPr>
        <w:t xml:space="preserve"> &lt;frank@kdab.net&gt;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Casey Link &lt;casey@kdab.com&gt;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Preston Brown &lt;pbrown@kde.org&gt;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w:t>
      </w:r>
      <w:r>
        <w:rPr>
          <w:rFonts w:ascii="宋体" w:hAnsi="宋体"/>
          <w:sz w:val="22"/>
        </w:rPr>
        <w:t>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Reinhold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r>
    </w:p>
    <w:p w14:paraId="345CD17F" w14:textId="77777777" w:rsidR="009F4FD4" w:rsidRDefault="00105F44">
      <w:pPr>
        <w:spacing w:line="420" w:lineRule="exact"/>
      </w:pPr>
      <w:r>
        <w:rPr>
          <w:b/>
          <w:sz w:val="24"/>
        </w:rPr>
        <w:t xml:space="preserve">License: </w:t>
      </w:r>
      <w:r>
        <w:t>LGPLv2+</w:t>
      </w:r>
    </w:p>
    <w:p w14:paraId="67DDB87F" w14:textId="77777777" w:rsidR="009F4FD4" w:rsidRDefault="00105F44">
      <w:pPr>
        <w:spacing w:line="420" w:lineRule="exact"/>
        <w:rPr>
          <w:b/>
          <w:sz w:val="24"/>
        </w:rPr>
      </w:pPr>
      <w:r>
        <w:rPr>
          <w:rFonts w:ascii="Times New Roman" w:hAnsi="Times New Roman"/>
        </w:rPr>
        <w:lastRenderedPageBreak/>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w:t>
      </w:r>
      <w:r>
        <w:rPr>
          <w:rFonts w:ascii="Times New Roman" w:hAnsi="Times New Roman"/>
        </w:rPr>
        <w:t>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w:t>
      </w:r>
      <w:r>
        <w:rPr>
          <w:rFonts w:ascii="Times New Roman" w:hAnsi="Times New Roman"/>
        </w:rPr>
        <w:t>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w:t>
      </w:r>
      <w:r>
        <w:rPr>
          <w:rFonts w:ascii="Times New Roman" w:hAnsi="Times New Roman"/>
        </w:rPr>
        <w:t>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w:t>
      </w:r>
      <w:r>
        <w:rPr>
          <w:rFonts w:ascii="Times New Roman" w:hAnsi="Times New Roman"/>
        </w:rPr>
        <w:t>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rPr>
        <w:t>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w:t>
      </w:r>
      <w:r>
        <w:rPr>
          <w:rFonts w:ascii="Times New Roman" w:hAnsi="Times New Roman"/>
        </w:rPr>
        <w:t>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the library, whether</w:t>
      </w:r>
      <w:r>
        <w:rPr>
          <w:rFonts w:ascii="Times New Roman" w:hAnsi="Times New Roman"/>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Fonts w:ascii="Times New Roman" w:hAnsi="Times New Roman"/>
        </w:rPr>
        <w: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w:t>
      </w:r>
      <w:r>
        <w:rPr>
          <w:rFonts w:ascii="Times New Roman" w:hAnsi="Times New Roman"/>
        </w:rPr>
        <w:t>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w:t>
      </w:r>
      <w:r>
        <w:rPr>
          <w:rFonts w:ascii="Times New Roman" w:hAnsi="Times New Roman"/>
        </w:rPr>
        <w:t>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w:t>
      </w:r>
      <w:r>
        <w:rPr>
          <w:rFonts w:ascii="Times New Roman" w:hAnsi="Times New Roman"/>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Fonts w:ascii="Times New Roman" w:hAnsi="Times New Roman"/>
        </w:rPr>
        <w:t>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w:t>
      </w:r>
      <w:r>
        <w:rPr>
          <w:rFonts w:ascii="Times New Roman" w:hAnsi="Times New Roman"/>
        </w:rPr>
        <w:t>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w:t>
      </w:r>
      <w:r>
        <w:rPr>
          <w:rFonts w:ascii="Times New Roman" w:hAnsi="Times New Roman"/>
        </w:rPr>
        <w:t>icense for some libraries is that they blur the distinction we usually make between modifying or adding to a program and simply using it. Linking a program with a library, without changing the library, is in some sense simply using the library, and is anal</w:t>
      </w:r>
      <w:r>
        <w:rPr>
          <w:rFonts w:ascii="Times New Roman" w:hAnsi="Times New Roman"/>
        </w:rPr>
        <w:t>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w:t>
      </w:r>
      <w:r>
        <w:rPr>
          <w:rFonts w:ascii="Times New Roman" w:hAnsi="Times New Roman"/>
        </w:rPr>
        <w:t xml:space="preserve">urred distinction, using the ordinary General Public License for libraries did not effectively </w:t>
      </w:r>
      <w:r>
        <w:rPr>
          <w:rFonts w:ascii="Times New Roman" w:hAnsi="Times New Roman"/>
        </w:rPr>
        <w:lastRenderedPageBreak/>
        <w:t>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w:t>
      </w:r>
      <w:r>
        <w:rPr>
          <w:rFonts w:ascii="Times New Roman" w:hAnsi="Times New Roman"/>
        </w:rPr>
        <w:t>cted linking of non-free programs would deprive the users of those programs of all benefit from the free status of the libraries themselves. This Library General Public License is intended to permit developers of non-free programs to use free libraries, wh</w:t>
      </w:r>
      <w:r>
        <w:rPr>
          <w:rFonts w:ascii="Times New Roman" w:hAnsi="Times New Roman"/>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Fonts w:ascii="Times New Roman" w:hAnsi="Times New Roman"/>
        </w:rPr>
        <w:t xml:space="preserve">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w:t>
      </w:r>
      <w:r>
        <w:rPr>
          <w:rFonts w:ascii="Times New Roman" w:hAnsi="Times New Roman"/>
        </w:rPr>
        <w:t xml:space="preserve">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w:t>
      </w:r>
      <w:r>
        <w:rPr>
          <w:rFonts w:ascii="Times New Roman" w:hAnsi="Times New Roman"/>
        </w:rPr>
        <w:t>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w:t>
      </w:r>
      <w:r>
        <w:rPr>
          <w:rFonts w:ascii="Times New Roman" w:hAnsi="Times New Roman"/>
        </w:rPr>
        <w:t xml:space="preserve">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w:t>
      </w:r>
      <w:r>
        <w:rPr>
          <w:rFonts w:ascii="Times New Roman" w:hAnsi="Times New Roman"/>
        </w:rPr>
        <w:t>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xml:space="preserve">" means either the Library or any derivative work under copyright </w:t>
      </w:r>
      <w:r>
        <w:rPr>
          <w:rFonts w:ascii="Times New Roman" w:hAnsi="Times New Roman"/>
        </w:rPr>
        <w:t>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r>
      <w:r>
        <w:rPr>
          <w:rFonts w:ascii="Times New Roman" w:hAnsi="Times New Roman"/>
        </w:rPr>
        <w:lastRenderedPageBreak/>
        <w:t>"</w:t>
      </w:r>
      <w:r>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to</w:t>
      </w:r>
      <w:r>
        <w:rPr>
          <w:rFonts w:ascii="Times New Roman" w:hAnsi="Times New Roman"/>
        </w:rPr>
        <w:t xml:space="preserve">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w:t>
      </w:r>
      <w:r>
        <w:rPr>
          <w:rFonts w:ascii="Times New Roman" w:hAnsi="Times New Roman"/>
        </w:rPr>
        <w:t xml:space="preserve">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t>.</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w:t>
      </w:r>
      <w:r>
        <w:rPr>
          <w:rFonts w:ascii="Times New Roman" w:hAnsi="Times New Roman"/>
        </w:rPr>
        <w:t>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w:t>
      </w:r>
      <w:r>
        <w:rPr>
          <w:rFonts w:ascii="Times New Roman" w:hAnsi="Times New Roman"/>
        </w:rPr>
        <w: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w:t>
      </w:r>
      <w:r>
        <w:rPr>
          <w:rFonts w:ascii="Times New Roman" w:hAnsi="Times New Roman"/>
        </w:rPr>
        <w:t>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t>
      </w:r>
      <w:r>
        <w:rPr>
          <w:rFonts w:ascii="Times New Roman" w:hAnsi="Times New Roman"/>
        </w:rPr>
        <w:t>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w:t>
      </w:r>
      <w:r>
        <w:rPr>
          <w:rFonts w:ascii="Times New Roman" w:hAnsi="Times New Roman"/>
        </w:rPr>
        <w:t>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w:t>
      </w:r>
      <w:r>
        <w:rPr>
          <w:rFonts w:ascii="Times New Roman" w:hAnsi="Times New Roman"/>
        </w:rPr>
        <w:t>or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rPr>
        <w:t xml:space="preserve">: if the application does not supply it, the square root function must still </w:t>
      </w:r>
      <w:r>
        <w:rPr>
          <w:rFonts w:ascii="Times New Roman" w:hAnsi="Times New Roman"/>
        </w:rPr>
        <w:lastRenderedPageBreak/>
        <w:t>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w:t>
      </w:r>
      <w:r>
        <w:rPr>
          <w:rFonts w:ascii="Times New Roman" w:hAnsi="Times New Roman"/>
        </w:rPr>
        <w:t>sidered independent and separate works in themselves, then this License, and its terms, do not apply to those sections when you distribute them as separate works. But when you distribute the same sections as part of a whole which is a work based on the Lib</w:t>
      </w:r>
      <w:r>
        <w:rPr>
          <w:rFonts w:ascii="Times New Roman" w:hAnsi="Times New Roman"/>
        </w:rPr>
        <w:t>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w:t>
      </w:r>
      <w:r>
        <w:rPr>
          <w:rFonts w:ascii="Times New Roman" w:hAnsi="Times New Roman"/>
        </w:rPr>
        <w:t>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w:t>
      </w:r>
      <w:r>
        <w:rPr>
          <w:rFonts w:ascii="Times New Roman" w:hAnsi="Times New Roman"/>
        </w:rPr>
        <w:t>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w:t>
      </w:r>
      <w:r>
        <w:rPr>
          <w:rFonts w:ascii="Times New Roman" w:hAnsi="Times New Roman"/>
        </w:rPr>
        <w:t xml:space="preserve">of this License to a given copy of the </w:t>
      </w:r>
      <w:proofErr w:type="gramStart"/>
      <w:r>
        <w:rPr>
          <w:rFonts w:ascii="Times New Roman" w:hAnsi="Times New Roman"/>
        </w:rPr>
        <w:t>Library</w:t>
      </w:r>
      <w:proofErr w:type="gramEnd"/>
      <w:r>
        <w:rPr>
          <w:rFonts w:ascii="Times New Roman" w:hAnsi="Times New Roman"/>
        </w:rPr>
        <w:t xml:space="preserve">. To do this, you must alter all the notices that refer to this License, so that they refer to the ordinary GNU General Public License, version 2, instead of to this License. (If a newer version than version 2 </w:t>
      </w:r>
      <w:r>
        <w:rPr>
          <w:rFonts w:ascii="Times New Roman" w:hAnsi="Times New Roman"/>
        </w:rPr>
        <w:t>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so the ordinary GNU </w:t>
      </w:r>
      <w:r>
        <w:rPr>
          <w:rFonts w:ascii="Times New Roman" w:hAnsi="Times New Roman"/>
        </w:rPr>
        <w:t>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w:t>
      </w:r>
      <w:r>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rPr>
        <w:t>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w:t>
      </w:r>
      <w:r>
        <w:rPr>
          <w:rFonts w:ascii="Times New Roman" w:hAnsi="Times New Roman"/>
        </w:rPr>
        <w:lastRenderedPageBreak/>
        <w:t xml:space="preserve">access to copy the source code from the same place </w:t>
      </w:r>
      <w:r>
        <w:rPr>
          <w:rFonts w:ascii="Times New Roman" w:hAnsi="Times New Roman"/>
        </w:rPr>
        <w:t>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w:t>
      </w:r>
      <w:r>
        <w:rPr>
          <w:rFonts w:ascii="Times New Roman" w:hAnsi="Times New Roman"/>
        </w:rPr>
        <w:t xml:space="preserve">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 xml:space="preserve">However, linking a "work that uses the Library" </w:t>
      </w:r>
      <w:r>
        <w:rPr>
          <w:rFonts w:ascii="Times New Roman" w:hAnsi="Times New Roman"/>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rPr>
        <w:t>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w:t>
      </w:r>
      <w:r>
        <w:rPr>
          <w:rFonts w:ascii="Times New Roman" w:hAnsi="Times New Roman"/>
        </w:rPr>
        <w:t xml:space="preserv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w:t>
      </w:r>
      <w:r>
        <w:rPr>
          <w:rFonts w:ascii="Times New Roman" w:hAnsi="Times New Roman"/>
        </w:rPr>
        <w:t xml:space="preserve">ssors, and small macros and small 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t>
      </w:r>
      <w:r>
        <w:rPr>
          <w:rFonts w:ascii="Times New Roman" w:hAnsi="Times New Roman"/>
        </w:rPr>
        <w:t>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6, whether or not they are </w:t>
      </w:r>
      <w:r>
        <w:rPr>
          <w:rFonts w:ascii="Times New Roman" w:hAnsi="Times New Roman"/>
        </w:rPr>
        <w:t xml:space="preserve">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w:t>
      </w:r>
      <w:r>
        <w:rPr>
          <w:rFonts w:ascii="Times New Roman" w:hAnsi="Times New Roman"/>
        </w:rPr>
        <w:t>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w:t>
      </w:r>
      <w:r>
        <w:rPr>
          <w:rFonts w:ascii="Times New Roman" w:hAnsi="Times New Roman"/>
        </w:rPr>
        <w:t xml:space="preserve">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w:t>
      </w:r>
      <w:r>
        <w:rPr>
          <w:rFonts w:ascii="Times New Roman" w:hAnsi="Times New Roman"/>
        </w:rPr>
        <w:lastRenderedPageBreak/>
        <w:t xml:space="preserve">directing the user to </w:t>
      </w:r>
      <w:r>
        <w:rPr>
          <w:rFonts w:ascii="Times New Roman" w:hAnsi="Times New Roman"/>
        </w:rPr>
        <w:t>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w:t>
      </w:r>
      <w:r>
        <w:rPr>
          <w:rFonts w:ascii="Times New Roman" w:hAnsi="Times New Roman"/>
        </w:rPr>
        <w:t>1 and 2 above); and, if the work is an executable linked with the Library, with the complete machine-readable "work that uses the Library", as object code and/or source code, so that the user can modify the Library and then relink to produce a modified exe</w:t>
      </w:r>
      <w:r>
        <w:rPr>
          <w:rFonts w:ascii="Times New Roman" w:hAnsi="Times New Roman"/>
        </w:rPr>
        <w:t>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w:t>
      </w:r>
      <w:r>
        <w:rPr>
          <w:rFonts w:ascii="Times New Roman" w:hAnsi="Times New Roman"/>
        </w:rPr>
        <w:t>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w:t>
      </w:r>
      <w:r>
        <w:rPr>
          <w:rFonts w:ascii="Times New Roman" w:hAnsi="Times New Roman"/>
        </w:rPr>
        <w:t>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w:t>
      </w:r>
      <w:r>
        <w:rPr>
          <w:rFonts w:ascii="Times New Roman" w:hAnsi="Times New Roman"/>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Fonts w:ascii="Times New Roman" w:hAnsi="Times New Roman"/>
        </w:rPr>
        <w:t>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w:t>
      </w:r>
      <w:r>
        <w:rPr>
          <w:rFonts w:ascii="Times New Roman" w:hAnsi="Times New Roman"/>
        </w:rPr>
        <w:t xml:space="preserve">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w:t>
      </w:r>
      <w:r>
        <w:rPr>
          <w:rFonts w:ascii="Times New Roman" w:hAnsi="Times New Roman"/>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Fonts w:ascii="Times New Roman" w:hAnsi="Times New Roman"/>
        </w:rPr>
        <w:t>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w:t>
      </w:r>
      <w:r>
        <w:rPr>
          <w:rFonts w:ascii="Times New Roman" w:hAnsi="Times New Roman"/>
        </w:rPr>
        <w:t>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lastRenderedPageBreak/>
        <w:t>8. You may not copy, modify, sublicense,</w:t>
      </w:r>
      <w:r>
        <w:rPr>
          <w:rFonts w:ascii="Times New Roman" w:hAnsi="Times New Roman"/>
        </w:rPr>
        <w:t xml:space="preserv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w:t>
      </w:r>
      <w:r>
        <w:rPr>
          <w:rFonts w:ascii="Times New Roman" w:hAnsi="Times New Roman"/>
        </w:rPr>
        <w:t>,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w:t>
      </w:r>
      <w:r>
        <w:rPr>
          <w:rFonts w:ascii="Times New Roman" w:hAnsi="Times New Roman"/>
        </w:rPr>
        <w:t xml:space="preserve">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w:t>
      </w:r>
      <w:r>
        <w:rPr>
          <w:rFonts w:ascii="Times New Roman" w:hAnsi="Times New Roman"/>
        </w:rPr>
        <w:t>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w:t>
      </w:r>
      <w:r>
        <w:rPr>
          <w:rFonts w:ascii="Times New Roman" w:hAnsi="Times New Roman"/>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Fonts w:ascii="Times New Roman" w:hAnsi="Times New Roman"/>
        </w:rPr>
        <w:t>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w:t>
      </w:r>
      <w:r>
        <w:rPr>
          <w:rFonts w:ascii="Times New Roman" w:hAnsi="Times New Roman"/>
        </w:rPr>
        <w:t>ourt order, agreement or otherwise) that contradict the conditions of this License, they do not excuse you from the conditions of this License. If you cannot distribute so as to satisfy simultaneously your obligations under this License and any other perti</w:t>
      </w:r>
      <w:r>
        <w:rPr>
          <w:rFonts w:ascii="Times New Roman" w:hAnsi="Times New Roman"/>
        </w:rPr>
        <w:t xml:space="preserve">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w:t>
      </w:r>
      <w:r>
        <w:rPr>
          <w:rFonts w:ascii="Times New Roman" w:hAnsi="Times New Roman"/>
        </w:rPr>
        <w:t>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w:t>
      </w:r>
      <w:r>
        <w:rPr>
          <w:rFonts w:ascii="Times New Roman" w:hAnsi="Times New Roman"/>
        </w:rPr>
        <w:t>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w:t>
      </w:r>
      <w:r>
        <w:rPr>
          <w:rFonts w:ascii="Times New Roman" w:hAnsi="Times New Roman"/>
        </w:rPr>
        <w:t>pose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rPr>
        <w:t xml:space="preserve">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 xml:space="preserve">This section is intended to make thoroughly clear what is believed to be </w:t>
      </w:r>
      <w:r>
        <w:rPr>
          <w:rFonts w:ascii="Times New Roman" w:hAnsi="Times New Roman"/>
        </w:rPr>
        <w:t>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w:t>
      </w:r>
      <w:r>
        <w:rPr>
          <w:rFonts w:ascii="Times New Roman" w:hAnsi="Times New Roman"/>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w:t>
      </w:r>
      <w:r>
        <w:rPr>
          <w:rFonts w:ascii="Times New Roman" w:hAnsi="Times New Roman"/>
        </w:rPr>
        <w:t>3. The Free Software Foundation may publish revised and/or new versions of the Library General Public License from time to time. Such new versions will be similar in spirit to the present version, but may differ in detail to address new problems or concern</w:t>
      </w:r>
      <w:r>
        <w:rPr>
          <w:rFonts w:ascii="Times New Roman" w:hAnsi="Times New Roman"/>
        </w:rPr>
        <w:t>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w:t>
      </w:r>
      <w:r>
        <w:rPr>
          <w:rFonts w:ascii="Times New Roman" w:hAnsi="Times New Roman"/>
        </w:rPr>
        <w:t>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w:t>
      </w:r>
      <w:r>
        <w:rPr>
          <w:rFonts w:ascii="Times New Roman" w:hAnsi="Times New Roman"/>
        </w:rPr>
        <w:t>rograms whose distribution conditions are incompatible with these,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w:t>
      </w:r>
      <w:r>
        <w:rPr>
          <w:rFonts w:ascii="Times New Roman" w:hAnsi="Times New Roman"/>
        </w:rPr>
        <w:t>RANTY FOR THE LIBRARY, TO THE EXTENT PERMITTED BY APPLICABLE LAW. EXCEPT WHEN OTHERWISE STATED IN WRITING THE COPYRIGHT HOLDERS AND/OR OTHER PARTIES PROVIDE THE LIBRARY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LIBRARY IS WITH YOU. SHOULD THE LIBRARY PROVE DEFECTIVE, YOU ASSUME THE COST OF ALL NECESSARY SERVICING, REP</w:t>
      </w:r>
      <w:r>
        <w:rPr>
          <w:rFonts w:ascii="Times New Roman" w:hAnsi="Times New Roman"/>
        </w:rPr>
        <w:t>AIR OR CORRECTION.</w:t>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LIBRARY AS PERMITTED ABOVE, BE LIABLE TO YOU FOR DAMAGES, INCLUDING ANY GENERA</w:t>
      </w:r>
      <w:r>
        <w:rPr>
          <w:rFonts w:ascii="Times New Roman" w:hAnsi="Times New Roman"/>
        </w:rPr>
        <w:t>L, SPECIAL, INCIDENTAL OR CONSEQUENTIAL DAMAGES ARISING OUT OF THE USE OR INABILITY TO USE THE LIBRARY (INCLUDING BUT NOT LIMITED TO LOSS OF DATA OR DATA BEING RENDERED INACCURATE OR LOSSES SUSTAINED BY YOU OR THIRD PARTIES OR A FAILURE OF THE LIBRARY TO O</w:t>
      </w:r>
      <w:r>
        <w:rPr>
          <w:rFonts w:ascii="Times New Roman" w:hAnsi="Times New Roman"/>
        </w:rPr>
        <w:t>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w:t>
      </w:r>
      <w:r>
        <w:rPr>
          <w:rFonts w:ascii="Times New Roman" w:hAnsi="Times New Roman"/>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Fonts w:ascii="Times New Roman" w:hAnsi="Times New Roman"/>
        </w:rPr>
        <w:t>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w:t>
      </w:r>
      <w:r>
        <w:rPr>
          <w:rFonts w:ascii="Times New Roman" w:hAnsi="Times New Roman"/>
        </w:rPr>
        <w:t>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w:t>
      </w:r>
      <w:r>
        <w:rPr>
          <w:rFonts w:ascii="Times New Roman" w:hAnsi="Times New Roman"/>
        </w:rPr>
        <w:t>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w:t>
      </w:r>
      <w:r>
        <w:rPr>
          <w:rFonts w:ascii="Times New Roman" w:hAnsi="Times New Roman"/>
        </w:rPr>
        <w:t>, Inc., 51 Franklin St,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w:t>
      </w:r>
      <w:r>
        <w:rPr>
          <w:rFonts w:ascii="Times New Roman" w:hAnsi="Times New Roman"/>
        </w:rPr>
        <w:t>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w:t>
      </w:r>
      <w:r>
        <w:rPr>
          <w:rFonts w:ascii="Times New Roman" w:hAnsi="Times New Roman"/>
        </w:rPr>
        <w:t>, President of Vice</w:t>
      </w:r>
      <w:r>
        <w:rPr>
          <w:rFonts w:ascii="Times New Roman" w:hAnsi="Times New Roman"/>
        </w:rPr>
        <w:br/>
      </w:r>
      <w:r>
        <w:rPr>
          <w:rFonts w:ascii="Times New Roman" w:hAnsi="Times New Roman"/>
        </w:rPr>
        <w:br/>
        <w:t>That's all there is to it!</w:t>
      </w:r>
    </w:p>
    <w:p w14:paraId="3FFBC54A" w14:textId="77777777" w:rsidR="009F4FD4" w:rsidRDefault="00105F44">
      <w:r>
        <w:rPr>
          <w:b/>
          <w:sz w:val="32"/>
        </w:rPr>
        <w:t xml:space="preserve">Written Offer </w:t>
      </w:r>
      <w:r>
        <w:rPr>
          <w:b/>
          <w:sz w:val="18"/>
        </w:rPr>
        <w:t xml:space="preserve"> </w:t>
      </w:r>
    </w:p>
    <w:p w14:paraId="38CC89F7" w14:textId="77777777" w:rsidR="009F4FD4" w:rsidRDefault="00105F4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w:t>
      </w:r>
      <w:r>
        <w:t xml:space="preserv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w:t>
      </w:r>
      <w:r>
        <w:t xml:space="preserve"> and obtain corresponding source code by searching the aforementioned repository using package name and tag.</w:t>
      </w:r>
    </w:p>
    <w:p w14:paraId="19D599A8" w14:textId="77777777" w:rsidR="009F4FD4" w:rsidRDefault="00105F44">
      <w:pPr>
        <w:jc w:val="both"/>
        <w:rPr>
          <w:rFonts w:cs="Arial"/>
          <w:color w:val="000000"/>
        </w:rPr>
      </w:pPr>
      <w:r>
        <w:rPr>
          <w:rFonts w:cs="Arial"/>
        </w:rPr>
        <w:t>This offer is valid to anyone in receipt of this information.</w:t>
      </w:r>
    </w:p>
    <w:p w14:paraId="32747C1A" w14:textId="77777777" w:rsidR="009F4FD4" w:rsidRDefault="00105F44">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w:t>
      </w:r>
      <w:r>
        <w:rPr>
          <w:rFonts w:ascii="Times New Roman" w:hAnsi="Times New Roman"/>
          <w:b/>
        </w:rPr>
        <w:t>TRIBUTION .</w:t>
      </w:r>
      <w:proofErr w:type="gramEnd"/>
    </w:p>
    <w:sectPr w:rsidR="009F4FD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D36A6" w14:textId="77777777" w:rsidR="00105F44" w:rsidRDefault="00105F44">
      <w:pPr>
        <w:spacing w:line="240" w:lineRule="auto"/>
      </w:pPr>
      <w:r>
        <w:separator/>
      </w:r>
    </w:p>
  </w:endnote>
  <w:endnote w:type="continuationSeparator" w:id="0">
    <w:p w14:paraId="4787B140" w14:textId="77777777" w:rsidR="00105F44" w:rsidRDefault="00105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F4FD4" w14:paraId="260B8CCA" w14:textId="77777777">
      <w:tc>
        <w:tcPr>
          <w:tcW w:w="1542" w:type="pct"/>
        </w:tcPr>
        <w:p w14:paraId="79407752" w14:textId="77777777" w:rsidR="009F4FD4" w:rsidRDefault="00105F44">
          <w:pPr>
            <w:pStyle w:val="aa"/>
          </w:pPr>
          <w:r>
            <w:fldChar w:fldCharType="begin"/>
          </w:r>
          <w:r>
            <w:instrText xml:space="preserve"> DATE \@ "yyyy-MM-dd" </w:instrText>
          </w:r>
          <w:r>
            <w:fldChar w:fldCharType="separate"/>
          </w:r>
          <w:r w:rsidR="00752549">
            <w:rPr>
              <w:noProof/>
            </w:rPr>
            <w:t>2025-03-18</w:t>
          </w:r>
          <w:r>
            <w:fldChar w:fldCharType="end"/>
          </w:r>
        </w:p>
      </w:tc>
      <w:tc>
        <w:tcPr>
          <w:tcW w:w="1853" w:type="pct"/>
        </w:tcPr>
        <w:p w14:paraId="392E7003" w14:textId="77777777" w:rsidR="009F4FD4" w:rsidRDefault="009F4FD4">
          <w:pPr>
            <w:pStyle w:val="aa"/>
          </w:pPr>
        </w:p>
      </w:tc>
      <w:tc>
        <w:tcPr>
          <w:tcW w:w="1605" w:type="pct"/>
        </w:tcPr>
        <w:p w14:paraId="458BFA3B" w14:textId="77777777" w:rsidR="009F4FD4" w:rsidRDefault="00105F4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24F5AE" w14:textId="77777777" w:rsidR="009F4FD4" w:rsidRDefault="009F4F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73657" w14:textId="77777777" w:rsidR="00105F44" w:rsidRDefault="00105F44">
      <w:r>
        <w:separator/>
      </w:r>
    </w:p>
  </w:footnote>
  <w:footnote w:type="continuationSeparator" w:id="0">
    <w:p w14:paraId="76A5978A" w14:textId="77777777" w:rsidR="00105F44" w:rsidRDefault="00105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F4FD4" w14:paraId="3485A5C8" w14:textId="77777777">
      <w:trPr>
        <w:cantSplit/>
        <w:trHeight w:hRule="exact" w:val="777"/>
      </w:trPr>
      <w:tc>
        <w:tcPr>
          <w:tcW w:w="492" w:type="pct"/>
          <w:tcBorders>
            <w:bottom w:val="single" w:sz="6" w:space="0" w:color="auto"/>
          </w:tcBorders>
        </w:tcPr>
        <w:p w14:paraId="6A652EFC" w14:textId="77777777" w:rsidR="009F4FD4" w:rsidRDefault="009F4FD4"/>
      </w:tc>
      <w:tc>
        <w:tcPr>
          <w:tcW w:w="3283" w:type="pct"/>
          <w:tcBorders>
            <w:bottom w:val="single" w:sz="6" w:space="0" w:color="auto"/>
          </w:tcBorders>
          <w:vAlign w:val="bottom"/>
        </w:tcPr>
        <w:p w14:paraId="46C87BB2" w14:textId="77777777" w:rsidR="009F4FD4" w:rsidRDefault="00105F4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43E4910" w14:textId="77777777" w:rsidR="009F4FD4" w:rsidRDefault="009F4FD4">
          <w:pPr>
            <w:pStyle w:val="ab"/>
            <w:ind w:firstLine="33"/>
          </w:pPr>
        </w:p>
      </w:tc>
    </w:tr>
  </w:tbl>
  <w:p w14:paraId="0635C1A0" w14:textId="77777777" w:rsidR="009F4FD4" w:rsidRDefault="009F4FD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5F44"/>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2549"/>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4FD4"/>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B15ED"/>
  <w15:docId w15:val="{A55B5DA3-4D5F-4CA5-A9F4-D53B83DF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4317</Words>
  <Characters>24612</Characters>
  <Application>Microsoft Office Word</Application>
  <DocSecurity>0</DocSecurity>
  <Lines>205</Lines>
  <Paragraphs>57</Paragraphs>
  <ScaleCrop>false</ScaleCrop>
  <Company>Huawei Technologies Co.,Ltd.</Company>
  <LinksUpToDate>false</LinksUpToDate>
  <CharactersWithSpaces>28872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