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python-extras</w:t>
      </w:r>
      <w:r>
        <w:rPr>
          <w:rStyle w:val="a0"/>
          <w:rFonts w:ascii="Arial" w:hAnsi="Arial"/>
          <w:b w:val="0"/>
          <w:sz w:val="21"/>
        </w:rPr>
        <w:t xml:space="preserve"> </w:t>
      </w:r>
      <w:r>
        <w:rPr>
          <w:rStyle w:val="a0"/>
          <w:rFonts w:ascii="Arial" w:hAnsi="Arial"/>
          <w:b w:val="0"/>
          <w:sz w:val="21"/>
        </w:rPr>
        <w:t>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2010-2012 the extras authors.</w:t>
      </w:r>
    </w:p>
    <w:p>
      <w:pPr>
        <w:spacing w:line="420" w:lineRule="exact"/>
      </w:pPr>
      <w:r>
        <w:rPr>
          <w:rStyle w:val="a0"/>
          <w:rFonts w:ascii="Arial" w:hAnsi="Arial"/>
          <w:sz w:val="20"/>
        </w:rPr>
        <w:t>Copyright (c) 2010-2012 extras developers.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