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atf 0.21</w:t>
      </w:r>
    </w:p>
    <w:p>
      <w:pPr/>
      <w:r>
        <w:rPr>
          <w:rStyle w:val="13"/>
          <w:rFonts w:ascii="Arial" w:hAnsi="Arial"/>
          <w:b/>
        </w:rPr>
        <w:t xml:space="preserve">Copyright notice: </w:t>
      </w:r>
    </w:p>
    <w:p>
      <w:pPr/>
      <w:r>
        <w:rPr>
          <w:rStyle w:val="13"/>
          <w:rFonts w:ascii="宋体" w:hAnsi="宋体"/>
          <w:sz w:val="22"/>
        </w:rPr>
        <w:t>Copyright (c) 2008 The NetBSD Foundation, Inc.</w:t>
        <w:br/>
        <w:t>Copyright 2014 Google Inc.</w:t>
        <w:br/>
        <w:t>Copyright 2011, 2012 Google Inc.</w:t>
        <w:br/>
        <w:t>Copyright (c) 2010 The NetBSD Foundation, Inc.</w:t>
        <w:br/>
        <w:t>Copyright (c) 2012 The NetBSD Foundation, Inc.</w:t>
        <w:br/>
        <w:t>Copyright (c) 2009 The NetBSD Foundation, Inc.</w:t>
        <w:br/>
        <w:t>Copyright (c) 2007 The NetBSD Foundation, Inc.</w:t>
        <w:br/>
        <w:t>Copyright (c) 2007, 2008, 2009, 2010, 2011, 2012 The NetBSD Foundation,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