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logwatch 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2005-2006 Mike Tremaine &lt;mgt /at/ stellarcore.net&gt;</w:t>
        <w:br/>
        <w:t>Copyright (c) 2004, Sparta, Inc All rights reserved.</w:t>
        <w:br/>
        <w:t>Copyright 2002-2021 Kirk Bauer Logwatch</w:t>
        <w:br/>
        <w:t>Copyright (c) 2002-2021 Kirk Bauer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