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w:t>
      </w:r>
      <w:r>
        <w:rPr>
          <w:rStyle w:val="13"/>
          <w:rFonts w:ascii="微软雅黑" w:hAnsi="微软雅黑"/>
          <w:b w:val="0"/>
          <w:sz w:val="21"/>
        </w:rPr>
        <w:t>process-nextick-args</w:t>
      </w:r>
      <w:r>
        <w:rPr>
          <w:rStyle w:val="13"/>
          <w:rFonts w:ascii="微软雅黑" w:hAnsi="微软雅黑"/>
          <w:b w:val="0"/>
          <w:sz w:val="21"/>
        </w:rPr>
        <w:t xml:space="preserve"> 2.0.0</w:t>
      </w:r>
    </w:p>
    <w:p>
      <w:pPr/>
      <w:r>
        <w:rPr>
          <w:rStyle w:val="13"/>
          <w:rFonts w:ascii="Arial" w:hAnsi="Arial"/>
          <w:b/>
        </w:rPr>
        <w:t xml:space="preserve">Copyright notice: </w:t>
      </w:r>
    </w:p>
    <w:p>
      <w:pPr/>
      <w:r>
        <w:rPr>
          <w:rStyle w:val="13"/>
          <w:rFonts w:ascii="宋体" w:hAnsi="宋体"/>
          <w:sz w:val="22"/>
        </w:rPr>
        <w:t>Copyright (c) 2015 Calvin Metcalf</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