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python-hyperlink 21.0.0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u2018, Mahmoud </w:t>
      </w:r>
      <w:r>
        <w:rPr>
          <w:rStyle w:val="a0"/>
          <w:rFonts w:ascii="宋体" w:hAnsi="宋体"/>
          <w:sz w:val="22"/>
        </w:rPr>
        <w:t>Hashemi</w:t>
      </w:r>
      <w:r>
        <w:rPr>
          <w:rStyle w:val="a0"/>
          <w:rFonts w:ascii="宋体" w:hAnsi="宋体"/>
          <w:sz w:val="22"/>
        </w:rPr>
        <w:br/>
      </w:r>
      <w:r>
        <w:rPr>
          <w:rStyle w:val="a0"/>
          <w:rFonts w:ascii="宋体" w:hAnsi="宋体"/>
          <w:sz w:val="22"/>
        </w:rPr>
        <w:t xml:space="preserve">Copyright (c) 2017 Glyph </w:t>
      </w:r>
      <w:r>
        <w:rPr>
          <w:rStyle w:val="a0"/>
          <w:rFonts w:ascii="宋体" w:hAnsi="宋体"/>
          <w:sz w:val="22"/>
        </w:rPr>
        <w:t>Lefkowitz</w:t>
      </w:r>
      <w:r>
        <w:rPr>
          <w:rStyle w:val="a0"/>
          <w:rFonts w:ascii="宋体" w:hAnsi="宋体"/>
          <w:sz w:val="22"/>
        </w:rPr>
        <w:t xml:space="preserve"> </w:t>
      </w:r>
      <w:r>
        <w:rPr>
          <w:rStyle w:val="a0"/>
          <w:rFonts w:ascii="宋体" w:hAnsi="宋体"/>
          <w:sz w:val="22"/>
        </w:rPr>
        <w:t>Itamar</w:t>
      </w:r>
      <w:r>
        <w:rPr>
          <w:rStyle w:val="a0"/>
          <w:rFonts w:ascii="宋体" w:hAnsi="宋体"/>
          <w:sz w:val="22"/>
        </w:rPr>
        <w:t xml:space="preserve"> Turner-</w:t>
      </w:r>
      <w:r>
        <w:rPr>
          <w:rStyle w:val="a0"/>
          <w:rFonts w:ascii="宋体" w:hAnsi="宋体"/>
          <w:sz w:val="22"/>
        </w:rPr>
        <w:t>Trauring</w:t>
      </w:r>
      <w:r>
        <w:rPr>
          <w:rStyle w:val="a0"/>
          <w:rFonts w:ascii="宋体" w:hAnsi="宋体"/>
          <w:sz w:val="22"/>
        </w:rPr>
        <w:t xml:space="preserve"> Jean Paul </w:t>
      </w:r>
      <w:r>
        <w:rPr>
          <w:rStyle w:val="a0"/>
          <w:rFonts w:ascii="宋体" w:hAnsi="宋体"/>
          <w:sz w:val="22"/>
        </w:rPr>
        <w:t>Calderone</w:t>
      </w:r>
      <w:r>
        <w:rPr>
          <w:rStyle w:val="a0"/>
          <w:rFonts w:ascii="宋体" w:hAnsi="宋体"/>
          <w:sz w:val="22"/>
        </w:rPr>
        <w:t xml:space="preserve"> </w:t>
      </w:r>
      <w:r>
        <w:rPr>
          <w:rStyle w:val="a0"/>
          <w:rFonts w:ascii="宋体" w:hAnsi="宋体"/>
          <w:sz w:val="22"/>
        </w:rPr>
        <w:t>Adi</w:t>
      </w:r>
      <w:r>
        <w:rPr>
          <w:rStyle w:val="a0"/>
          <w:rFonts w:ascii="宋体" w:hAnsi="宋体"/>
          <w:sz w:val="22"/>
        </w:rPr>
        <w:t xml:space="preserve"> </w:t>
      </w:r>
      <w:r>
        <w:rPr>
          <w:rStyle w:val="a0"/>
          <w:rFonts w:ascii="宋体" w:hAnsi="宋体"/>
          <w:sz w:val="22"/>
        </w:rPr>
        <w:t>Roiban</w:t>
      </w:r>
      <w:r>
        <w:rPr>
          <w:rStyle w:val="a0"/>
          <w:rFonts w:ascii="宋体" w:hAnsi="宋体"/>
          <w:sz w:val="22"/>
        </w:rPr>
        <w:t xml:space="preserve"> Amber </w:t>
      </w:r>
      <w:r>
        <w:rPr>
          <w:rStyle w:val="a0"/>
          <w:rFonts w:ascii="宋体" w:hAnsi="宋体"/>
          <w:sz w:val="22"/>
        </w:rPr>
        <w:t>Hawkie</w:t>
      </w:r>
      <w:r>
        <w:rPr>
          <w:rStyle w:val="a0"/>
          <w:rFonts w:ascii="宋体" w:hAnsi="宋体"/>
          <w:sz w:val="22"/>
        </w:rPr>
        <w:t xml:space="preserve"> Brown Mahmoud </w:t>
      </w:r>
      <w:r>
        <w:rPr>
          <w:rStyle w:val="a0"/>
          <w:rFonts w:ascii="宋体" w:hAnsi="宋体"/>
          <w:sz w:val="22"/>
        </w:rPr>
        <w:t>Hashemi</w:t>
      </w:r>
      <w:r>
        <w:rPr>
          <w:rStyle w:val="a0"/>
          <w:rFonts w:ascii="宋体" w:hAnsi="宋体"/>
          <w:sz w:val="22"/>
        </w:rPr>
        <w:t xml:space="preserve"> Wilfredo Sanchez Vega</w:t>
      </w:r>
      <w:r>
        <w:rPr>
          <w:rStyle w:val="a0"/>
          <w:rFonts w:ascii="宋体" w:hAnsi="宋体"/>
          <w:sz w:val="22"/>
        </w:rPr>
        <w:br/>
        <w:t>Copyright (c) Twisted Matrix Laboratories.</w:t>
      </w:r>
      <w:r>
        <w:rPr>
          <w:rStyle w:val="a0"/>
          <w:rFonts w:ascii="宋体" w:hAnsi="宋体"/>
          <w:sz w:val="22"/>
        </w:rPr>
        <w:br/>
      </w:r>
    </w:p>
    <w:p>
      <w:pPr/>
      <w:r>
        <w:rPr>
          <w:rStyle w:val="a0"/>
          <w:b/>
        </w:rPr>
        <w:t>Licens</w:t>
      </w:r>
      <w:r>
        <w:rPr>
          <w:rStyle w:val="a0"/>
          <w:b/>
        </w:rPr>
        <w:t xml:space="preserve">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w:t>
      </w:r>
      <w:r>
        <w:rPr>
          <w:rStyle w:val="a0"/>
          <w:rFonts w:ascii="Times New Roman" w:hAnsi="Times New Roman"/>
          <w:sz w:val="21"/>
        </w:rPr>
        <w:t>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w:t>
      </w:r>
      <w:r>
        <w:rPr>
          <w:rStyle w:val="a0"/>
          <w:rFonts w:ascii="Times New Roman" w:hAnsi="Times New Roman"/>
          <w:sz w:val="21"/>
        </w:rPr>
        <w:t>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w:t>
      </w:r>
      <w:r>
        <w:rPr>
          <w:rStyle w:val="a0"/>
          <w:rFonts w:ascii="Times New Roman" w:hAnsi="Times New Roman"/>
          <w:sz w:val="21"/>
        </w:rPr>
        <w:t>THE WARRANTIES OF MERCHANTABILITY, FITNESS FOR A PARTICULAR PURPOSE AND NONINFRINGEMENT. IN NO EVENT SHALL THE AUTHORS OR COPYRIGHT HOLDERS BE LIABLE FOR ANY CLAIM, DAMAGES OR OTHER LIABILITY, WHETHER IN AN ACTION OF CONTRACT, TORT OR OTHERWISE, ARISING FR</w:t>
      </w:r>
      <w:r>
        <w:rPr>
          <w:rStyle w:val="a0"/>
          <w:rFonts w:ascii="Times New Roman" w:hAnsi="Times New Roman"/>
          <w:sz w:val="21"/>
        </w:rPr>
        <w:t>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